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400" w:firstLineChars="100"/>
        <w:jc w:val="both"/>
        <w:textAlignment w:val="baseline"/>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400" w:firstLineChars="100"/>
        <w:jc w:val="both"/>
        <w:textAlignment w:val="baseline"/>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400" w:firstLineChars="100"/>
        <w:jc w:val="both"/>
        <w:textAlignment w:val="baseline"/>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400" w:firstLineChars="100"/>
        <w:jc w:val="both"/>
        <w:textAlignment w:val="baseline"/>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t>《</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14:textFill>
            <w14:solidFill>
              <w14:schemeClr w14:val="tx1"/>
            </w14:solidFill>
          </w14:textFill>
        </w:rPr>
        <w:t>安徽省人防工程建设企业</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t>从业信</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14:textFill>
            <w14:solidFill>
              <w14:schemeClr w14:val="tx1"/>
            </w14:solidFill>
          </w14:textFill>
        </w:rPr>
        <w:t>用</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t>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right="0" w:hangingChars="200"/>
        <w:jc w:val="center"/>
        <w:textAlignment w:val="baseline"/>
        <w:rPr>
          <w:rFonts w:hint="eastAsia" w:ascii="方正小标宋_GBK" w:hAnsi="方正小标宋_GBK" w:eastAsia="方正小标宋_GBK" w:cs="方正小标宋_GBK"/>
          <w:b w:val="0"/>
          <w:i w:val="0"/>
          <w:caps w:val="0"/>
          <w:color w:val="000000" w:themeColor="text1"/>
          <w:spacing w:val="-20"/>
          <w:w w:val="100"/>
          <w:sz w:val="24"/>
          <w:szCs w:val="24"/>
          <w:lang w:eastAsia="zh-CN"/>
          <w14:textFill>
            <w14:solidFill>
              <w14:schemeClr w14:val="tx1"/>
            </w14:solidFill>
          </w14:textFill>
        </w:rPr>
      </w:pPr>
      <w:r>
        <w:rPr>
          <w:rFonts w:hint="default" w:ascii="方正小标宋_GBK" w:hAnsi="方正小标宋_GBK" w:eastAsia="方正小标宋_GBK" w:cs="方正小标宋_GBK"/>
          <w:b w:val="0"/>
          <w:bCs w:val="0"/>
          <w:i w:val="0"/>
          <w:iCs w:val="0"/>
          <w:caps w:val="0"/>
          <w:color w:val="000000" w:themeColor="text1"/>
          <w:spacing w:val="-20"/>
          <w:w w:val="100"/>
          <w:sz w:val="44"/>
          <w:szCs w:val="44"/>
          <w:shd w:val="clear" w:fill="FFFFFF"/>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val="en-US" w:eastAsia="zh-CN"/>
          <w14:textFill>
            <w14:solidFill>
              <w14:schemeClr w14:val="tx1"/>
            </w14:solidFill>
          </w14:textFill>
        </w:rPr>
        <w:t>分类</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t>管理</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14:textFill>
            <w14:solidFill>
              <w14:schemeClr w14:val="tx1"/>
            </w14:solidFill>
          </w14:textFill>
        </w:rPr>
        <w:t>办法（试行）</w:t>
      </w:r>
      <w:r>
        <w:rPr>
          <w:rFonts w:hint="eastAsia" w:ascii="方正小标宋_GBK" w:hAnsi="方正小标宋_GBK" w:eastAsia="方正小标宋_GBK" w:cs="方正小标宋_GBK"/>
          <w:b w:val="0"/>
          <w:bCs w:val="0"/>
          <w:i w:val="0"/>
          <w:iCs w:val="0"/>
          <w:caps w:val="0"/>
          <w:color w:val="000000" w:themeColor="text1"/>
          <w:spacing w:val="-20"/>
          <w:w w:val="100"/>
          <w:sz w:val="44"/>
          <w:szCs w:val="44"/>
          <w:shd w:val="clear" w:fill="FFFFFF"/>
          <w:lang w:eastAsia="zh-CN"/>
          <w14:textFill>
            <w14:solidFill>
              <w14:schemeClr w14:val="tx1"/>
            </w14:solidFill>
          </w14:textFill>
        </w:rPr>
        <w:t>》政策解读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right="0" w:firstLine="0"/>
        <w:jc w:val="left"/>
        <w:textAlignment w:val="baseline"/>
        <w:rPr>
          <w:rFonts w:ascii="仿宋_GB2312" w:hAnsi="Calibri" w:eastAsia="仿宋_GB2312" w:cs="仿宋_GB2312"/>
          <w:b/>
          <w:bCs/>
          <w:i w:val="0"/>
          <w:iCs w:val="0"/>
          <w:caps w:val="0"/>
          <w:color w:val="000000" w:themeColor="text1"/>
          <w:spacing w:val="0"/>
          <w:w w:val="100"/>
          <w:sz w:val="32"/>
          <w:szCs w:val="32"/>
          <w:shd w:val="clear" w:fill="FFFFFF"/>
          <w14:textFill>
            <w14:solidFill>
              <w14:schemeClr w14:val="tx1"/>
            </w14:solidFill>
          </w14:textFill>
        </w:rPr>
      </w:pPr>
    </w:p>
    <w:p>
      <w:pPr>
        <w:pStyle w:val="3"/>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720" w:firstLineChars="200"/>
        <w:jc w:val="left"/>
        <w:textAlignment w:val="baseline"/>
        <w:rPr>
          <w:rFonts w:hint="eastAsia" w:ascii="宋体" w:hAnsi="宋体" w:eastAsia="宋体" w:cs="宋体"/>
          <w:b w:val="0"/>
          <w:bCs w:val="0"/>
          <w:i w:val="0"/>
          <w:iCs w:val="0"/>
          <w:caps w:val="0"/>
          <w:color w:val="000000" w:themeColor="text1"/>
          <w:spacing w:val="0"/>
          <w:w w:val="100"/>
          <w:sz w:val="36"/>
          <w:szCs w:val="36"/>
          <w:shd w:val="clear" w:fill="FFFFFF"/>
          <w:lang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w w:val="100"/>
          <w:sz w:val="36"/>
          <w:szCs w:val="36"/>
          <w:shd w:val="clear" w:fill="FFFFFF"/>
          <w:lang w:eastAsia="zh-CN"/>
          <w14:textFill>
            <w14:solidFill>
              <w14:schemeClr w14:val="tx1"/>
            </w14:solidFill>
          </w14:textFill>
        </w:rPr>
        <w:t>一、制定背景</w:t>
      </w:r>
    </w:p>
    <w:p>
      <w:pPr>
        <w:pStyle w:val="3"/>
        <w:widowControl/>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firstLine="720" w:firstLineChars="0"/>
        <w:jc w:val="center"/>
        <w:textAlignment w:val="auto"/>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仿宋" w:hAnsi="仿宋" w:eastAsia="仿宋" w:cs="仿宋"/>
          <w:b w:val="0"/>
          <w:bCs w:val="0"/>
          <w:i w:val="0"/>
          <w:iCs w:val="0"/>
          <w:caps w:val="0"/>
          <w:color w:val="333333"/>
          <w:spacing w:val="0"/>
          <w:sz w:val="36"/>
          <w:szCs w:val="36"/>
          <w:shd w:val="clear" w:fill="FFFFFF"/>
          <w:lang w:val="en-US"/>
        </w:rPr>
        <w:t>2019</w:t>
      </w:r>
      <w:r>
        <w:rPr>
          <w:rFonts w:hint="eastAsia" w:ascii="仿宋" w:hAnsi="仿宋" w:eastAsia="仿宋" w:cs="仿宋"/>
          <w:b w:val="0"/>
          <w:bCs w:val="0"/>
          <w:i w:val="0"/>
          <w:iCs w:val="0"/>
          <w:caps w:val="0"/>
          <w:color w:val="333333"/>
          <w:spacing w:val="0"/>
          <w:sz w:val="36"/>
          <w:szCs w:val="36"/>
          <w:shd w:val="clear" w:fill="FFFFFF"/>
          <w:lang w:val="en-US" w:eastAsia="zh-CN"/>
        </w:rPr>
        <w:t>年，</w:t>
      </w:r>
      <w:r>
        <w:rPr>
          <w:rFonts w:hint="eastAsia" w:ascii="仿宋" w:hAnsi="仿宋" w:eastAsia="仿宋" w:cs="仿宋"/>
          <w:b w:val="0"/>
          <w:bCs w:val="0"/>
          <w:i w:val="0"/>
          <w:iCs w:val="0"/>
          <w:caps w:val="0"/>
          <w:color w:val="333333"/>
          <w:spacing w:val="0"/>
          <w:sz w:val="36"/>
          <w:szCs w:val="36"/>
          <w:shd w:val="clear" w:fill="FFFFFF"/>
        </w:rPr>
        <w:t>国务院办公厅</w:t>
      </w:r>
      <w:r>
        <w:rPr>
          <w:rFonts w:hint="eastAsia" w:ascii="仿宋" w:hAnsi="仿宋" w:eastAsia="仿宋" w:cs="仿宋"/>
          <w:b w:val="0"/>
          <w:bCs w:val="0"/>
          <w:i w:val="0"/>
          <w:iCs w:val="0"/>
          <w:caps w:val="0"/>
          <w:color w:val="333333"/>
          <w:spacing w:val="0"/>
          <w:sz w:val="36"/>
          <w:szCs w:val="36"/>
          <w:shd w:val="clear" w:fill="FFFFFF"/>
          <w:lang w:eastAsia="zh-CN"/>
        </w:rPr>
        <w:t>《</w:t>
      </w:r>
      <w:r>
        <w:rPr>
          <w:rFonts w:hint="eastAsia" w:ascii="仿宋" w:hAnsi="仿宋" w:eastAsia="仿宋" w:cs="仿宋"/>
          <w:b w:val="0"/>
          <w:bCs w:val="0"/>
          <w:i w:val="0"/>
          <w:iCs w:val="0"/>
          <w:caps w:val="0"/>
          <w:color w:val="333333"/>
          <w:spacing w:val="0"/>
          <w:sz w:val="36"/>
          <w:szCs w:val="36"/>
          <w:shd w:val="clear" w:fill="FFFFFF"/>
        </w:rPr>
        <w:t>关于加快推进社会信用体系建设构建以信用为基础的新型监管机制的指导意见</w:t>
      </w:r>
      <w:r>
        <w:rPr>
          <w:rFonts w:hint="eastAsia" w:ascii="仿宋" w:hAnsi="仿宋" w:eastAsia="仿宋" w:cs="仿宋"/>
          <w:b w:val="0"/>
          <w:bCs w:val="0"/>
          <w:i w:val="0"/>
          <w:iCs w:val="0"/>
          <w:caps w:val="0"/>
          <w:color w:val="333333"/>
          <w:spacing w:val="0"/>
          <w:sz w:val="36"/>
          <w:szCs w:val="36"/>
          <w:shd w:val="clear" w:fill="FFFFFF"/>
          <w:lang w:eastAsia="zh-CN"/>
        </w:rPr>
        <w:t>》（</w:t>
      </w:r>
      <w:r>
        <w:rPr>
          <w:rFonts w:hint="eastAsia" w:ascii="仿宋" w:hAnsi="仿宋" w:eastAsia="仿宋" w:cs="仿宋"/>
          <w:i w:val="0"/>
          <w:iCs w:val="0"/>
          <w:caps w:val="0"/>
          <w:color w:val="333333"/>
          <w:spacing w:val="0"/>
          <w:sz w:val="36"/>
          <w:szCs w:val="36"/>
          <w:shd w:val="clear" w:fill="FFFFFF"/>
        </w:rPr>
        <w:t>国办发〔2019〕35号</w:t>
      </w:r>
      <w:r>
        <w:rPr>
          <w:rFonts w:hint="eastAsia" w:ascii="仿宋" w:hAnsi="仿宋" w:eastAsia="仿宋" w:cs="仿宋"/>
          <w:i w:val="0"/>
          <w:iCs w:val="0"/>
          <w:caps w:val="0"/>
          <w:color w:val="333333"/>
          <w:spacing w:val="0"/>
          <w:sz w:val="36"/>
          <w:szCs w:val="36"/>
          <w:shd w:val="clear" w:fill="FFFFFF"/>
          <w:lang w:eastAsia="zh-CN"/>
        </w:rPr>
        <w:t>）</w:t>
      </w:r>
      <w:r>
        <w:rPr>
          <w:rFonts w:hint="eastAsia" w:ascii="仿宋" w:hAnsi="仿宋" w:eastAsia="仿宋" w:cs="仿宋"/>
          <w:b w:val="0"/>
          <w:bCs w:val="0"/>
          <w:i w:val="0"/>
          <w:iCs w:val="0"/>
          <w:caps w:val="0"/>
          <w:color w:val="333333"/>
          <w:spacing w:val="0"/>
          <w:sz w:val="36"/>
          <w:szCs w:val="36"/>
          <w:shd w:val="clear" w:fill="FFFFFF"/>
          <w:lang w:eastAsia="zh-CN"/>
        </w:rPr>
        <w:t>，要求各地各部门</w:t>
      </w:r>
      <w:r>
        <w:rPr>
          <w:rFonts w:hint="eastAsia" w:ascii="仿宋" w:hAnsi="仿宋" w:eastAsia="仿宋" w:cs="仿宋"/>
          <w:i w:val="0"/>
          <w:iCs w:val="0"/>
          <w:caps w:val="0"/>
          <w:color w:val="333333"/>
          <w:spacing w:val="0"/>
          <w:sz w:val="36"/>
          <w:szCs w:val="36"/>
          <w:shd w:val="clear" w:fill="FFFFFF"/>
        </w:rPr>
        <w:t>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r>
        <w:rPr>
          <w:rFonts w:hint="eastAsia" w:ascii="仿宋" w:hAnsi="仿宋" w:eastAsia="仿宋" w:cs="仿宋"/>
          <w:i w:val="0"/>
          <w:iCs w:val="0"/>
          <w:caps w:val="0"/>
          <w:color w:val="333333"/>
          <w:spacing w:val="0"/>
          <w:sz w:val="36"/>
          <w:szCs w:val="36"/>
          <w:shd w:val="clear" w:fill="FFFFFF"/>
          <w:lang w:eastAsia="zh-CN"/>
        </w:rPr>
        <w:t>随着国家</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持续深化建设工程企业资质审批制度改革，人防工程设计、审图、监理资质管理先后被取消或调整，人防部门强化事中事后监管的任务要求更为突出。在人防“进千户、访万企”</w:t>
      </w:r>
      <w:bookmarkStart w:id="0" w:name="_GoBack"/>
      <w:bookmarkEnd w:id="0"/>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走访调研中，也有企业提出应制定我省人防工程建设领域信用监管办法，进一步促进市场公平竞争的建议。</w:t>
      </w:r>
    </w:p>
    <w:p>
      <w:pPr>
        <w:pStyle w:val="3"/>
        <w:widowControl/>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firstLine="720" w:firstLineChars="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w w:val="100"/>
          <w:sz w:val="36"/>
          <w:szCs w:val="36"/>
          <w:shd w:val="clear" w:fill="FFFFFF"/>
          <w:lang w:val="en-US" w:eastAsia="zh-CN"/>
          <w14:textFill>
            <w14:solidFill>
              <w14:schemeClr w14:val="tx1"/>
            </w14:solidFill>
          </w14:textFill>
        </w:rPr>
        <w:t>为适应新形势、新任务和新要求，贯彻落实省委“一改两为”部署安排和省委主要领导对人防工作的重要批示，省人防办</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根据国家法律法规和有关政策，</w:t>
      </w:r>
      <w:r>
        <w:rPr>
          <w:rFonts w:hint="eastAsia" w:ascii="仿宋" w:hAnsi="仿宋" w:eastAsia="仿宋" w:cs="仿宋"/>
          <w:b w:val="0"/>
          <w:bCs w:val="0"/>
          <w:i w:val="0"/>
          <w:iCs w:val="0"/>
          <w:caps w:val="0"/>
          <w:color w:val="000000" w:themeColor="text1"/>
          <w:spacing w:val="0"/>
          <w:w w:val="100"/>
          <w:sz w:val="36"/>
          <w:szCs w:val="36"/>
          <w:shd w:val="clear" w:fill="FFFFFF"/>
          <w:lang w:eastAsia="zh-CN"/>
          <w14:textFill>
            <w14:solidFill>
              <w14:schemeClr w14:val="tx1"/>
            </w14:solidFill>
          </w14:textFill>
        </w:rPr>
        <w:t>会同省发展改革委、省住房和城乡建设厅、省市场监督管理局联合印发</w:t>
      </w:r>
      <w:r>
        <w:rPr>
          <w:rFonts w:hint="eastAsia" w:ascii="仿宋" w:hAnsi="仿宋" w:eastAsia="仿宋" w:cs="仿宋"/>
          <w:b w:val="0"/>
          <w:bCs w:val="0"/>
          <w:i w:val="0"/>
          <w:iCs w:val="0"/>
          <w:caps w:val="0"/>
          <w:color w:val="000000" w:themeColor="text1"/>
          <w:spacing w:val="-20"/>
          <w:w w:val="100"/>
          <w:sz w:val="36"/>
          <w:szCs w:val="36"/>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20"/>
          <w:w w:val="100"/>
          <w:sz w:val="36"/>
          <w:szCs w:val="36"/>
          <w:shd w:val="clear" w:fill="FFFFFF"/>
          <w14:textFill>
            <w14:solidFill>
              <w14:schemeClr w14:val="tx1"/>
            </w14:solidFill>
          </w14:textFill>
        </w:rPr>
        <w:t>安徽省人防工程建设企业</w:t>
      </w:r>
      <w:r>
        <w:rPr>
          <w:rFonts w:hint="eastAsia" w:ascii="仿宋" w:hAnsi="仿宋" w:eastAsia="仿宋" w:cs="仿宋"/>
          <w:b w:val="0"/>
          <w:bCs w:val="0"/>
          <w:i w:val="0"/>
          <w:iCs w:val="0"/>
          <w:caps w:val="0"/>
          <w:color w:val="000000" w:themeColor="text1"/>
          <w:spacing w:val="-20"/>
          <w:w w:val="100"/>
          <w:sz w:val="36"/>
          <w:szCs w:val="36"/>
          <w:shd w:val="clear" w:fill="FFFFFF"/>
          <w:lang w:eastAsia="zh-CN"/>
          <w14:textFill>
            <w14:solidFill>
              <w14:schemeClr w14:val="tx1"/>
            </w14:solidFill>
          </w14:textFill>
        </w:rPr>
        <w:t>从业信</w:t>
      </w:r>
      <w:r>
        <w:rPr>
          <w:rFonts w:hint="eastAsia" w:ascii="仿宋" w:hAnsi="仿宋" w:eastAsia="仿宋" w:cs="仿宋"/>
          <w:b w:val="0"/>
          <w:bCs w:val="0"/>
          <w:i w:val="0"/>
          <w:iCs w:val="0"/>
          <w:caps w:val="0"/>
          <w:color w:val="000000" w:themeColor="text1"/>
          <w:spacing w:val="-20"/>
          <w:w w:val="100"/>
          <w:sz w:val="36"/>
          <w:szCs w:val="36"/>
          <w:shd w:val="clear" w:fill="FFFFFF"/>
          <w14:textFill>
            <w14:solidFill>
              <w14:schemeClr w14:val="tx1"/>
            </w14:solidFill>
          </w14:textFill>
        </w:rPr>
        <w:t>用</w:t>
      </w:r>
      <w:r>
        <w:rPr>
          <w:rFonts w:hint="eastAsia" w:ascii="仿宋" w:hAnsi="仿宋" w:eastAsia="仿宋" w:cs="仿宋"/>
          <w:b w:val="0"/>
          <w:bCs w:val="0"/>
          <w:i w:val="0"/>
          <w:iCs w:val="0"/>
          <w:caps w:val="0"/>
          <w:color w:val="000000" w:themeColor="text1"/>
          <w:spacing w:val="-20"/>
          <w:w w:val="100"/>
          <w:sz w:val="36"/>
          <w:szCs w:val="36"/>
          <w:shd w:val="clear" w:fill="FFFFFF"/>
          <w:lang w:eastAsia="zh-CN"/>
          <w14:textFill>
            <w14:solidFill>
              <w14:schemeClr w14:val="tx1"/>
            </w14:solidFill>
          </w14:textFill>
        </w:rPr>
        <w:t>状况</w:t>
      </w:r>
      <w:r>
        <w:rPr>
          <w:rFonts w:hint="eastAsia" w:ascii="仿宋" w:hAnsi="仿宋" w:eastAsia="仿宋" w:cs="仿宋"/>
          <w:b w:val="0"/>
          <w:bCs w:val="0"/>
          <w:i w:val="0"/>
          <w:iCs w:val="0"/>
          <w:caps w:val="0"/>
          <w:color w:val="000000" w:themeColor="text1"/>
          <w:spacing w:val="-20"/>
          <w:w w:val="100"/>
          <w:sz w:val="36"/>
          <w:szCs w:val="36"/>
          <w:shd w:val="clear" w:fill="FFFFFF"/>
          <w:lang w:val="en-US" w:eastAsia="zh-CN"/>
          <w14:textFill>
            <w14:solidFill>
              <w14:schemeClr w14:val="tx1"/>
            </w14:solidFill>
          </w14:textFill>
        </w:rPr>
        <w:t>分类</w:t>
      </w:r>
      <w:r>
        <w:rPr>
          <w:rFonts w:hint="eastAsia" w:ascii="仿宋" w:hAnsi="仿宋" w:eastAsia="仿宋" w:cs="仿宋"/>
          <w:b w:val="0"/>
          <w:bCs w:val="0"/>
          <w:i w:val="0"/>
          <w:iCs w:val="0"/>
          <w:caps w:val="0"/>
          <w:color w:val="000000" w:themeColor="text1"/>
          <w:spacing w:val="-20"/>
          <w:w w:val="100"/>
          <w:sz w:val="36"/>
          <w:szCs w:val="36"/>
          <w:shd w:val="clear" w:fill="FFFFFF"/>
          <w:lang w:eastAsia="zh-CN"/>
          <w14:textFill>
            <w14:solidFill>
              <w14:schemeClr w14:val="tx1"/>
            </w14:solidFill>
          </w14:textFill>
        </w:rPr>
        <w:t>管理</w:t>
      </w:r>
      <w:r>
        <w:rPr>
          <w:rFonts w:hint="eastAsia" w:ascii="仿宋" w:hAnsi="仿宋" w:eastAsia="仿宋" w:cs="仿宋"/>
          <w:b w:val="0"/>
          <w:bCs w:val="0"/>
          <w:i w:val="0"/>
          <w:iCs w:val="0"/>
          <w:caps w:val="0"/>
          <w:color w:val="000000" w:themeColor="text1"/>
          <w:spacing w:val="-20"/>
          <w:w w:val="100"/>
          <w:sz w:val="36"/>
          <w:szCs w:val="36"/>
          <w:shd w:val="clear" w:fill="FFFFFF"/>
          <w14:textFill>
            <w14:solidFill>
              <w14:schemeClr w14:val="tx1"/>
            </w14:solidFill>
          </w14:textFill>
        </w:rPr>
        <w:t>办法（试行）</w:t>
      </w:r>
      <w:r>
        <w:rPr>
          <w:rFonts w:hint="eastAsia" w:ascii="仿宋" w:hAnsi="仿宋" w:eastAsia="仿宋" w:cs="仿宋"/>
          <w:b w:val="0"/>
          <w:bCs w:val="0"/>
          <w:i w:val="0"/>
          <w:iCs w:val="0"/>
          <w:caps w:val="0"/>
          <w:color w:val="000000" w:themeColor="text1"/>
          <w:spacing w:val="-20"/>
          <w:w w:val="100"/>
          <w:sz w:val="36"/>
          <w:szCs w:val="36"/>
          <w:shd w:val="clear"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运用信用手段，创新监管方式，推动更好履行监管职责。</w:t>
      </w:r>
    </w:p>
    <w:p>
      <w:pPr>
        <w:pStyle w:val="3"/>
        <w:widowControl/>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firstLine="720" w:firstLineChars="0"/>
        <w:jc w:val="both"/>
        <w:textAlignment w:val="baseline"/>
        <w:rPr>
          <w:rFonts w:hint="eastAsia" w:ascii="宋体" w:hAnsi="宋体" w:eastAsia="宋体" w:cs="宋体"/>
          <w:b w:val="0"/>
          <w:bCs w:val="0"/>
          <w:i w:val="0"/>
          <w:caps w:val="0"/>
          <w:color w:val="000000" w:themeColor="text1"/>
          <w:spacing w:val="0"/>
          <w:w w:val="100"/>
          <w:sz w:val="36"/>
          <w:szCs w:val="36"/>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w w:val="100"/>
          <w:sz w:val="36"/>
          <w:szCs w:val="36"/>
          <w:lang w:val="en-US" w:eastAsia="zh-CN"/>
          <w14:textFill>
            <w14:solidFill>
              <w14:schemeClr w14:val="tx1"/>
            </w14:solidFill>
          </w14:textFill>
        </w:rPr>
        <w:t>二、主要内容</w:t>
      </w:r>
    </w:p>
    <w:p>
      <w:pPr>
        <w:pStyle w:val="3"/>
        <w:widowControl/>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firstLine="720" w:firstLineChars="200"/>
        <w:jc w:val="both"/>
        <w:textAlignment w:val="baseline"/>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一是分类管理。</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《办法》规定，人防工程建设企业从业信用状况根据评分情况分为优、良、中、差</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4</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个类别。优：分值</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90</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以上；良：分值</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75</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89</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分；中：分值</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60</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74</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分；差：分值</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59</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分以下。对于尚未实施检查评价的企业，定为初始类。</w:t>
      </w:r>
    </w:p>
    <w:p>
      <w:pPr>
        <w:pStyle w:val="3"/>
        <w:widowControl/>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二是综合评价。</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办法》规定，人防工程建设企业从业信用状况分类，以人防部门监管结果，发展改革部门提供的企业公共信用综合评价结果、住房城乡建设部门提供的建筑市场信用评价结果和市场监督管理部门提供的企业信用风险分类结果为基础，</w:t>
      </w:r>
      <w:r>
        <w:rPr>
          <w:rFonts w:hint="eastAsia" w:ascii="仿宋" w:hAnsi="仿宋" w:eastAsia="仿宋" w:cs="仿宋"/>
          <w:b w:val="0"/>
          <w:bCs w:val="0"/>
          <w:i w:val="0"/>
          <w:iCs w:val="0"/>
          <w:caps w:val="0"/>
          <w:color w:val="000000" w:themeColor="text1"/>
          <w:spacing w:val="6"/>
          <w:w w:val="100"/>
          <w:sz w:val="36"/>
          <w:szCs w:val="36"/>
          <w:shd w:val="clear" w:fill="FFFFFF"/>
          <w:lang w:eastAsia="zh-CN"/>
          <w14:textFill>
            <w14:solidFill>
              <w14:schemeClr w14:val="tx1"/>
            </w14:solidFill>
          </w14:textFill>
        </w:rPr>
        <w:t>加权赋分，</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通过综合评分确定。</w:t>
      </w: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三是集中检查和平时监管并重。</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《办法》规定，人防部门监管结果包括人防年度集中执法检查结果和人防日常监管结果两部分，对主要通过“双随机、一公开”方式确定的集中执法检查结果赋分</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40</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分、根据企业不良行为报告信息确定的日常监管结果赋分</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30</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分，分值设置总体相当，集中检查和日常监管并用并重，有效避免单次检查进行评价的偶然性和不合理性。</w:t>
      </w:r>
    </w:p>
    <w:p>
      <w:pPr>
        <w:snapToGrid/>
        <w:spacing w:before="0" w:beforeAutospacing="0" w:after="0" w:afterAutospacing="0" w:line="590" w:lineRule="exact"/>
        <w:ind w:firstLine="720" w:firstLineChars="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四是部门信息共享。</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《办法》规定，人防部门与发展改革、住房城乡建设、市场监督管理部门建立工作协调机制，推送交换部门信用信息，破除部门间信息壁垒，打破信息孤岛，实现数据共享。</w:t>
      </w: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五是审慎包容监管。</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为贯彻落实“一改两为”部署要求，最大限度为企业创造良好营商环境，《办法》规定，在政策试行期内，对人防工程建设企业从业信用状况评价结果仅作为人防部门配置监管资源的依据，非因国家和社会公共利益需要，除向公共资源交易监督管理等相关部门提供查询外，不向社会公开。同时规定，对信用状况评定为“差”类的企业，可在</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6</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个月后申请信用修复，积极消除不利影响。</w:t>
      </w:r>
    </w:p>
    <w:p>
      <w:pPr>
        <w:pStyle w:val="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90" w:lineRule="exact"/>
        <w:ind w:left="0" w:right="0" w:firstLine="720" w:firstLineChars="200"/>
        <w:jc w:val="left"/>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六是差异化监管。</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《办法》规定，</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对</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val="en-US" w:eastAsia="zh-CN"/>
          <w14:textFill>
            <w14:solidFill>
              <w14:schemeClr w14:val="tx1"/>
            </w14:solidFill>
          </w14:textFill>
        </w:rPr>
        <w:t>优类</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企业</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，除</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有</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投诉举报、转办交办案件线索外，</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不实施检查，</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同时</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给予简化服务事项办理程序</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等</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正向激励</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val="en-US" w:eastAsia="zh-CN"/>
          <w14:textFill>
            <w14:solidFill>
              <w14:schemeClr w14:val="tx1"/>
            </w14:solidFill>
          </w14:textFill>
        </w:rPr>
        <w:t>对良类</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企业，抽查</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比例不低于该类</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企业的</w:t>
      </w:r>
      <w:r>
        <w:rPr>
          <w:rFonts w:hint="default" w:ascii="仿宋_GB2312" w:hAnsi="宋体" w:eastAsia="仿宋_GB2312" w:cs="仿宋_GB2312"/>
          <w:b w:val="0"/>
          <w:i w:val="0"/>
          <w:iCs w:val="0"/>
          <w:caps w:val="0"/>
          <w:color w:val="000000" w:themeColor="text1"/>
          <w:spacing w:val="6"/>
          <w:w w:val="100"/>
          <w:sz w:val="36"/>
          <w:szCs w:val="36"/>
          <w:u w:val="none"/>
          <w:shd w:val="clear" w:fill="FFFFFF"/>
          <w:lang w:val="en"/>
          <w14:textFill>
            <w14:solidFill>
              <w14:schemeClr w14:val="tx1"/>
            </w14:solidFill>
          </w14:textFill>
        </w:rPr>
        <w:t>10</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％。对</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中类企业，</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抽查</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比例</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不低于</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该类</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企业的</w:t>
      </w:r>
      <w:r>
        <w:rPr>
          <w:rFonts w:hint="default" w:ascii="仿宋_GB2312" w:hAnsi="宋体" w:eastAsia="仿宋_GB2312" w:cs="仿宋_GB2312"/>
          <w:b w:val="0"/>
          <w:i w:val="0"/>
          <w:iCs w:val="0"/>
          <w:caps w:val="0"/>
          <w:color w:val="000000" w:themeColor="text1"/>
          <w:spacing w:val="6"/>
          <w:w w:val="100"/>
          <w:sz w:val="36"/>
          <w:szCs w:val="36"/>
          <w:u w:val="none"/>
          <w:shd w:val="clear" w:fill="FFFFFF"/>
          <w:lang w:val="en-US"/>
          <w14:textFill>
            <w14:solidFill>
              <w14:schemeClr w14:val="tx1"/>
            </w14:solidFill>
          </w14:textFill>
        </w:rPr>
        <w:t>30</w:t>
      </w:r>
      <w:r>
        <w:rPr>
          <w:rFonts w:hint="default" w:ascii="仿宋_GB2312" w:hAnsi="宋体"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对</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差类</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抽查</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比例</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不低于</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该类</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企业的50％</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对</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初始类</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企业，</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抽查比例</w:t>
      </w:r>
      <w:r>
        <w:rPr>
          <w:rFonts w:hint="default" w:ascii="仿宋_GB2312" w:hAnsi="Calibri" w:eastAsia="仿宋_GB2312" w:cs="仿宋_GB2312"/>
          <w:b w:val="0"/>
          <w:i w:val="0"/>
          <w:iCs w:val="0"/>
          <w:caps w:val="0"/>
          <w:color w:val="000000" w:themeColor="text1"/>
          <w:spacing w:val="6"/>
          <w:w w:val="100"/>
          <w:sz w:val="36"/>
          <w:szCs w:val="36"/>
          <w:u w:val="none"/>
          <w:shd w:val="clear" w:fill="FFFFFF"/>
          <w14:textFill>
            <w14:solidFill>
              <w14:schemeClr w14:val="tx1"/>
            </w14:solidFill>
          </w14:textFill>
        </w:rPr>
        <w:t>不低于</w:t>
      </w:r>
      <w:r>
        <w:rPr>
          <w:rFonts w:hint="eastAsia" w:ascii="仿宋_GB2312" w:hAnsi="宋体" w:eastAsia="仿宋_GB2312" w:cs="仿宋_GB2312"/>
          <w:b w:val="0"/>
          <w:i w:val="0"/>
          <w:iCs w:val="0"/>
          <w:caps w:val="0"/>
          <w:color w:val="000000" w:themeColor="text1"/>
          <w:spacing w:val="6"/>
          <w:w w:val="100"/>
          <w:sz w:val="36"/>
          <w:szCs w:val="36"/>
          <w:u w:val="none"/>
          <w:shd w:val="clear" w:fill="FFFFFF"/>
          <w:lang w:eastAsia="zh-CN"/>
          <w14:textFill>
            <w14:solidFill>
              <w14:schemeClr w14:val="tx1"/>
            </w14:solidFill>
          </w14:textFill>
        </w:rPr>
        <w:t>该类</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val="en-US" w:eastAsia="zh-CN"/>
          <w14:textFill>
            <w14:solidFill>
              <w14:schemeClr w14:val="tx1"/>
            </w14:solidFill>
          </w14:textFill>
        </w:rPr>
        <w:t>企业的1</w:t>
      </w:r>
      <w:r>
        <w:rPr>
          <w:rFonts w:hint="default" w:ascii="仿宋_GB2312" w:hAnsi="Calibri" w:eastAsia="仿宋_GB2312" w:cs="仿宋_GB2312"/>
          <w:b w:val="0"/>
          <w:i w:val="0"/>
          <w:iCs w:val="0"/>
          <w:caps w:val="0"/>
          <w:color w:val="000000" w:themeColor="text1"/>
          <w:spacing w:val="6"/>
          <w:w w:val="100"/>
          <w:sz w:val="36"/>
          <w:szCs w:val="36"/>
          <w:u w:val="none"/>
          <w:shd w:val="clear" w:fill="FFFFFF"/>
          <w:lang w:val="en-US" w:eastAsia="zh-CN"/>
          <w14:textFill>
            <w14:solidFill>
              <w14:schemeClr w14:val="tx1"/>
            </w14:solidFill>
          </w14:textFill>
        </w:rPr>
        <w:t>0%</w:t>
      </w:r>
      <w:r>
        <w:rPr>
          <w:rFonts w:hint="eastAsia" w:ascii="仿宋_GB2312" w:hAnsi="Calibri" w:eastAsia="仿宋_GB2312" w:cs="仿宋_GB2312"/>
          <w:b w:val="0"/>
          <w:i w:val="0"/>
          <w:iCs w:val="0"/>
          <w:caps w:val="0"/>
          <w:color w:val="000000" w:themeColor="text1"/>
          <w:spacing w:val="6"/>
          <w:w w:val="100"/>
          <w:sz w:val="36"/>
          <w:szCs w:val="36"/>
          <w:u w:val="none"/>
          <w:shd w:val="clear" w:fill="FFFFFF"/>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对信用状况不同类型企业，确定不同监管频次，合理配置监管资源，提高监管效能。</w:t>
      </w: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七是跨部门联合监管。</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为贯彻落实国家关于建立跨部门联合执法机制，避免多头执法、重复执法，最大限度减轻企业负担的要求，《办法》规定，人防部门在制定“双随机、一公开”检查计划时，与住房城乡建设部门和市场监督管理部门做好对接，结合实际，开展联合执法检查。</w:t>
      </w: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w w:val="100"/>
          <w:sz w:val="36"/>
          <w:szCs w:val="36"/>
          <w:lang w:val="en-US" w:eastAsia="zh-CN"/>
          <w14:textFill>
            <w14:solidFill>
              <w14:schemeClr w14:val="tx1"/>
            </w14:solidFill>
          </w14:textFill>
        </w:rPr>
        <w:t>八是拓展结果运用。</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为进一步激发市场主体活力，《办法》规定，各级人防部门要根据国家及省相关规定，探索拓展人防工程建设企业从业信用状况分类信息的运用范围。下一步，将把企业的优良信用状况评价作为评先评优及评定为“白名单”企业的重要参考。</w:t>
      </w:r>
    </w:p>
    <w:p>
      <w:pPr>
        <w:snapToGrid/>
        <w:spacing w:before="0" w:beforeAutospacing="0" w:after="0" w:afterAutospacing="0" w:line="590" w:lineRule="exact"/>
        <w:ind w:firstLine="0" w:firstLineChars="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p>
    <w:p>
      <w:pPr>
        <w:snapToGrid/>
        <w:spacing w:before="0" w:beforeAutospacing="0" w:after="0" w:afterAutospacing="0" w:line="590" w:lineRule="exact"/>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政策解读联系人：安徽省人防办法规宣教处</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周义昆</w:t>
      </w:r>
    </w:p>
    <w:p>
      <w:pPr>
        <w:snapToGrid/>
        <w:spacing w:before="0" w:beforeAutospacing="0" w:after="0" w:afterAutospacing="0" w:line="590" w:lineRule="exact"/>
        <w:ind w:firstLine="720" w:firstLineChars="200"/>
        <w:jc w:val="both"/>
        <w:textAlignment w:val="baseline"/>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联系电话：</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0551</w:t>
      </w:r>
      <w:r>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w:t>
      </w:r>
      <w:r>
        <w:rPr>
          <w:rFonts w:hint="default"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t>63443209</w:t>
      </w:r>
    </w:p>
    <w:p>
      <w:pPr>
        <w:snapToGrid/>
        <w:spacing w:before="0" w:beforeAutospacing="0" w:after="0" w:afterAutospacing="0" w:line="590" w:lineRule="exact"/>
        <w:ind w:firstLine="720" w:firstLineChars="200"/>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p>
    <w:p>
      <w:pPr>
        <w:snapToGrid/>
        <w:spacing w:before="0" w:beforeAutospacing="0" w:after="0" w:afterAutospacing="0" w:line="590" w:lineRule="exact"/>
        <w:jc w:val="both"/>
        <w:textAlignment w:val="baseline"/>
        <w:rPr>
          <w:rFonts w:hint="eastAsia" w:ascii="仿宋" w:hAnsi="仿宋" w:eastAsia="仿宋" w:cs="仿宋"/>
          <w:b w:val="0"/>
          <w:bCs w:val="0"/>
          <w:i w:val="0"/>
          <w:caps w:val="0"/>
          <w:color w:val="000000" w:themeColor="text1"/>
          <w:spacing w:val="0"/>
          <w:w w:val="100"/>
          <w:sz w:val="36"/>
          <w:szCs w:val="36"/>
          <w:lang w:val="en-US" w:eastAsia="zh-CN"/>
          <w14:textFill>
            <w14:solidFill>
              <w14:schemeClr w14:val="tx1"/>
            </w14:solidFill>
          </w14:textFill>
        </w:rPr>
      </w:pPr>
    </w:p>
    <w:p>
      <w:pPr>
        <w:rPr>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OWQ0OWU4MWIzZWQ2NTAxN2E3MjM4NjFjZTJhMTMifQ=="/>
  </w:docVars>
  <w:rsids>
    <w:rsidRoot w:val="00000000"/>
    <w:rsid w:val="00DC2FB7"/>
    <w:rsid w:val="01B052FD"/>
    <w:rsid w:val="02FA44D2"/>
    <w:rsid w:val="068C4300"/>
    <w:rsid w:val="0C0537CC"/>
    <w:rsid w:val="0C620530"/>
    <w:rsid w:val="19C37D32"/>
    <w:rsid w:val="1C572AB0"/>
    <w:rsid w:val="1FFC449F"/>
    <w:rsid w:val="29677E88"/>
    <w:rsid w:val="2CD04010"/>
    <w:rsid w:val="345A5D7A"/>
    <w:rsid w:val="38121789"/>
    <w:rsid w:val="3E5705A1"/>
    <w:rsid w:val="49D7248D"/>
    <w:rsid w:val="4A50085B"/>
    <w:rsid w:val="4F0A6C95"/>
    <w:rsid w:val="504457AB"/>
    <w:rsid w:val="52CA07B9"/>
    <w:rsid w:val="595312B7"/>
    <w:rsid w:val="5A7E1CC4"/>
    <w:rsid w:val="5B30140A"/>
    <w:rsid w:val="5E521154"/>
    <w:rsid w:val="633C6C16"/>
    <w:rsid w:val="641535E6"/>
    <w:rsid w:val="68397BF3"/>
    <w:rsid w:val="69E00CFC"/>
    <w:rsid w:val="6B171D1A"/>
    <w:rsid w:val="6C906997"/>
    <w:rsid w:val="74887DE0"/>
    <w:rsid w:val="77D01296"/>
    <w:rsid w:val="7BCB3EC2"/>
    <w:rsid w:val="7DB063EB"/>
    <w:rsid w:val="7FB5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1598</Words>
  <Characters>1628</Characters>
  <Lines>0</Lines>
  <Paragraphs>0</Paragraphs>
  <TotalTime>10</TotalTime>
  <ScaleCrop>false</ScaleCrop>
  <LinksUpToDate>false</LinksUpToDate>
  <CharactersWithSpaces>1632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2022-06-12T10:55:00Z</dcterms:created>
  <dc:creator>Administrator</dc:creator>
  <cp:lastModifiedBy>锡安</cp:lastModifiedBy>
  <cp:lastPrinted>2022-06-13T02:21:00Z</cp:lastPrinted>
  <dcterms:modified xsi:type="dcterms:W3CDTF">2022-06-13T11:06:39Z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5BB71B60EEE54C619255B9EC3A12CE5A</vt:lpwstr>
  </property>
</Properties>
</file>